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26" w:h="597" w:hRule="exact" w:wrap="none" w:vAnchor="page" w:hAnchor="page" w:x="1716" w:y="2051"/>
        <w:widowControl w:val="0"/>
        <w:keepNext w:val="0"/>
        <w:keepLines w:val="0"/>
        <w:shd w:val="clear" w:color="auto" w:fill="auto"/>
        <w:bidi w:val="0"/>
        <w:spacing w:before="0" w:after="0"/>
        <w:ind w:left="160" w:right="5079" w:firstLine="0"/>
      </w:pPr>
      <w:r>
        <w:rPr>
          <w:rStyle w:val="CharStyle5"/>
        </w:rPr>
        <w:t>In The Wood Green Crown Court</w:t>
        <w:br/>
        <w:t>A20150064</w:t>
      </w:r>
    </w:p>
    <w:p>
      <w:pPr>
        <w:pStyle w:val="Style3"/>
        <w:framePr w:wrap="none" w:vAnchor="page" w:hAnchor="page" w:x="8324" w:y="209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rStyle w:val="CharStyle5"/>
        </w:rPr>
        <w:t>Case No</w:t>
      </w:r>
    </w:p>
    <w:p>
      <w:pPr>
        <w:pStyle w:val="Style3"/>
        <w:framePr w:w="8726" w:h="1974" w:hRule="exact" w:wrap="none" w:vAnchor="page" w:hAnchor="page" w:x="1716" w:y="2851"/>
        <w:widowControl w:val="0"/>
        <w:keepNext w:val="0"/>
        <w:keepLines w:val="0"/>
        <w:shd w:val="clear" w:color="auto" w:fill="auto"/>
        <w:bidi w:val="0"/>
        <w:jc w:val="center"/>
        <w:spacing w:before="0" w:after="377" w:line="316" w:lineRule="exact"/>
        <w:ind w:left="0" w:right="20" w:firstLine="0"/>
      </w:pPr>
      <w:r>
        <w:rPr>
          <w:rStyle w:val="CharStyle5"/>
        </w:rPr>
        <w:t>Appeal against an Anti-Social Behaviour Order</w:t>
        <w:br/>
        <w:t>(Crime and Disorder Act 1998, Section 4)</w:t>
      </w:r>
    </w:p>
    <w:p>
      <w:pPr>
        <w:pStyle w:val="Style3"/>
        <w:framePr w:w="8726" w:h="1974" w:hRule="exact" w:wrap="none" w:vAnchor="page" w:hAnchor="page" w:x="1716" w:y="2851"/>
        <w:widowControl w:val="0"/>
        <w:keepNext w:val="0"/>
        <w:keepLines w:val="0"/>
        <w:shd w:val="clear" w:color="auto" w:fill="auto"/>
        <w:bidi w:val="0"/>
        <w:jc w:val="center"/>
        <w:spacing w:before="0" w:after="377" w:line="220" w:lineRule="exact"/>
        <w:ind w:left="0" w:right="20" w:firstLine="0"/>
      </w:pPr>
      <w:r>
        <w:rPr>
          <w:rStyle w:val="CharStyle5"/>
        </w:rPr>
        <w:t>For</w:t>
      </w:r>
    </w:p>
    <w:p>
      <w:pPr>
        <w:pStyle w:val="Style3"/>
        <w:framePr w:w="8726" w:h="1974" w:hRule="exact" w:wrap="none" w:vAnchor="page" w:hAnchor="page" w:x="1716" w:y="2851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20" w:firstLine="0"/>
      </w:pPr>
      <w:r>
        <w:rPr>
          <w:rStyle w:val="CharStyle5"/>
        </w:rPr>
        <w:t>Simon Cordell</w:t>
      </w:r>
    </w:p>
    <w:p>
      <w:pPr>
        <w:pStyle w:val="Style6"/>
        <w:framePr w:w="8726" w:h="338" w:hRule="exact" w:wrap="none" w:vAnchor="page" w:hAnchor="page" w:x="1716" w:y="558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20" w:firstLine="0"/>
      </w:pPr>
      <w:bookmarkStart w:id="0" w:name="bookmark0"/>
      <w:r>
        <w:rPr>
          <w:rStyle w:val="CharStyle8"/>
          <w:b/>
          <w:bCs/>
        </w:rPr>
        <w:t>INDEX</w:t>
      </w:r>
      <w:bookmarkEnd w:id="0"/>
    </w:p>
    <w:tbl>
      <w:tblPr>
        <w:tblOverlap w:val="never"/>
        <w:tblLayout w:type="fixed"/>
        <w:jc w:val="left"/>
      </w:tblPr>
      <w:tblGrid>
        <w:gridCol w:w="867"/>
        <w:gridCol w:w="6728"/>
        <w:gridCol w:w="1131"/>
      </w:tblGrid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9"/>
                <w:b w:val="0"/>
                <w:bCs w:val="0"/>
              </w:rPr>
              <w:t>1</w:t>
            </w:r>
            <w:r>
              <w:rPr>
                <w:rStyle w:val="CharStyle1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Application for the Anti-Social Behaviour Order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1 - 3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Summons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</w:t>
            </w:r>
          </w:p>
        </w:tc>
      </w:tr>
      <w:tr>
        <w:trPr>
          <w:trHeight w:val="6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21" w:lineRule="exact"/>
              <w:ind w:left="0" w:right="0" w:firstLine="0"/>
            </w:pPr>
            <w:r>
              <w:rPr>
                <w:rStyle w:val="CharStyle11"/>
              </w:rPr>
              <w:t>Witness statements of Borough Commander Johnson dated 30/10/14 and Steve Hodgson dated 30/10/14.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5-6</w:t>
            </w:r>
          </w:p>
        </w:tc>
      </w:tr>
      <w:tr>
        <w:trPr>
          <w:trHeight w:val="6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Heresay Notice dated 11/9/2014, 30/10/14, 23/02/16 &amp; 17/08/16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3" w:lineRule="exact"/>
              <w:ind w:left="0" w:right="0" w:firstLine="0"/>
            </w:pPr>
            <w:r>
              <w:rPr>
                <w:rStyle w:val="CharStyle11"/>
              </w:rPr>
              <w:t>7-10 &amp; lOa-e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Interim Anti Social behaviour Notice dated 5/11/2014.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11-12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Anti Social Behaviour Order dated 4/8/2015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13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Steve Elsmore dated 11/08/2014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14-26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Steve Elsmore dated 14/1/2015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27-31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20" w:firstLine="0"/>
            </w:pPr>
            <w:r>
              <w:rPr>
                <w:rStyle w:val="CharStyle11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Steve Elsmore dated 26/6/2015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32-33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Steve Elsmore dated 4/3/2015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34-35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A/PS Charles Miles dated 02/08/2014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A/Insp Hamill dated 06/08/2014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37-38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Douglas Skinner dated 15/08/2014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39-40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Douglas Skinner dated 19/09/2015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41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A/DS Jason Ames dated 15/8/2014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42-43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Aaron King dated 15/08/2014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44-46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Aaron King dated 07/09/2014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PC Edgoose dated 31/08/2014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Witness statement of PC Sophie Theodoulou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49-50</w:t>
            </w:r>
          </w:p>
        </w:tc>
      </w:tr>
      <w:tr>
        <w:trPr>
          <w:trHeight w:val="9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09" w:lineRule="exact"/>
              <w:ind w:left="0" w:right="0" w:firstLine="0"/>
            </w:pPr>
            <w:r>
              <w:rPr>
                <w:rStyle w:val="CharStyle11"/>
              </w:rPr>
              <w:t>Resident statements (various) - signed by PC McMillan;PC Barker; PC Anderson and a member of the public ( personal information re-dacted)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51-66</w:t>
            </w:r>
          </w:p>
        </w:tc>
      </w:tr>
      <w:tr>
        <w:trPr>
          <w:trHeight w:val="34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PNC Printout for Simon Cordell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726" w:h="8094" w:wrap="none" w:vAnchor="page" w:hAnchor="page" w:x="1716" w:y="633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67-78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77"/>
        <w:gridCol w:w="6747"/>
        <w:gridCol w:w="1136"/>
      </w:tblGrid>
      <w:tr>
        <w:trPr>
          <w:trHeight w:val="3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CRIMINIT's, CAD's and CRIS's in the following order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760" w:h="12330" w:wrap="none" w:vAnchor="page" w:hAnchor="page" w:x="1699" w:y="210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YERT00376728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79-82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YERT00376227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83-86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YERT00376229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87-89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YERT00376024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90-92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CRIS report 1914855/14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93-108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YERT00374531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109-111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YERT00323197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112-114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PKRT00056539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115-117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YERT00360430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118-121</w:t>
            </w: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CRIS report 4208625/13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122-151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CRIMINT report HTRT00376798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152-154</w:t>
            </w: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1012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155-158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1323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159-163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CAD1722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164-166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1816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167-171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2141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172-176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2255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177-181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2271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182-185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1047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186-190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3037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191-195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1608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196-198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2601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199-202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2637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203-207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2672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208-210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2854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211-214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3005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215-217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49.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3252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218-221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3986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222-225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* CAD 4323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226-229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5206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230-232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8841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233-236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10393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237-244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10481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245-249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10506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250-253</w:t>
            </w:r>
          </w:p>
        </w:tc>
      </w:tr>
      <w:tr>
        <w:trPr>
          <w:trHeight w:val="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10471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254-257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10742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258-261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59.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1"/>
              </w:rPr>
              <w:t>• CAD 10967 7JUN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8760" w:h="12330" w:wrap="none" w:vAnchor="page" w:hAnchor="page" w:x="1699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262-266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77"/>
        <w:gridCol w:w="6738"/>
        <w:gridCol w:w="1121"/>
      </w:tblGrid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47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267-271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340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272-275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625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276-279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793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280-284</w:t>
            </w:r>
          </w:p>
        </w:tc>
      </w:tr>
      <w:tr>
        <w:trPr>
          <w:trHeight w:val="3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2410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285-289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3151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290-294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3319 8JUN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295-298</w:t>
            </w: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9804 19JUL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299-302</w:t>
            </w:r>
          </w:p>
        </w:tc>
      </w:tr>
      <w:tr>
        <w:trPr>
          <w:trHeight w:val="3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10635 19JUL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303-313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69.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CAD 11822 19JUL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314-316</w:t>
            </w:r>
          </w:p>
        </w:tc>
      </w:tr>
      <w:tr>
        <w:trPr>
          <w:trHeight w:val="6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70.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1" w:lineRule="exact"/>
              <w:ind w:left="540" w:right="0" w:hanging="340"/>
            </w:pPr>
            <w:r>
              <w:rPr>
                <w:rStyle w:val="CharStyle11"/>
              </w:rPr>
              <w:t>• Witness Statement of Steve Elsmore dated 11/08/2016 and Canary Wharf Group Incident Report No. 74507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317-323</w:t>
            </w:r>
          </w:p>
        </w:tc>
      </w:tr>
      <w:tr>
        <w:trPr>
          <w:trHeight w:val="6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71.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Schedule of Incidents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324-326</w:t>
            </w:r>
          </w:p>
        </w:tc>
      </w:tr>
      <w:tr>
        <w:trPr>
          <w:trHeight w:val="65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72.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40" w:right="0" w:hanging="340"/>
            </w:pPr>
            <w:r>
              <w:rPr>
                <w:rStyle w:val="CharStyle11"/>
              </w:rPr>
              <w:t>• Witness Statement of Steve Elsmore dated 24/09/2016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8736" w:h="5185" w:wrap="none" w:vAnchor="page" w:hAnchor="page" w:x="1711" w:y="210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327-332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sectPr>
      <w:footnotePr>
        <w:pos w:val="pageBottom"/>
        <w:numFmt w:val="decimal"/>
        <w:numRestart w:val="continuous"/>
      </w:footnotePr>
      <w:pgSz w:w="11908" w:h="16849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Palatino Linotype" w:eastAsia="Palatino Linotype" w:hAnsi="Palatino Linotype" w:cs="Palatino Linotype"/>
    </w:rPr>
  </w:style>
  <w:style w:type="character" w:customStyle="1" w:styleId="CharStyle5">
    <w:name w:val="Body text (2)"/>
    <w:basedOn w:val="CharStyle4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7">
    <w:name w:val="Heading #1_"/>
    <w:basedOn w:val="DefaultParagraphFont"/>
    <w:link w:val="Style6"/>
    <w:rPr>
      <w:b/>
      <w:bCs/>
      <w:i w:val="0"/>
      <w:iCs w:val="0"/>
      <w:u w:val="none"/>
      <w:strike w:val="0"/>
      <w:smallCaps w:val="0"/>
      <w:sz w:val="28"/>
      <w:szCs w:val="28"/>
      <w:rFonts w:ascii="Palatino Linotype" w:eastAsia="Palatino Linotype" w:hAnsi="Palatino Linotype" w:cs="Palatino Linotype"/>
    </w:rPr>
  </w:style>
  <w:style w:type="character" w:customStyle="1" w:styleId="CharStyle8">
    <w:name w:val="Heading #1"/>
    <w:basedOn w:val="CharStyle7"/>
    <w:rPr>
      <w:lang w:val="en-GB" w:eastAsia="en-GB" w:bidi="en-GB"/>
      <w:w w:val="100"/>
      <w:spacing w:val="0"/>
      <w:color w:val="000000"/>
      <w:position w:val="0"/>
    </w:rPr>
  </w:style>
  <w:style w:type="character" w:customStyle="1" w:styleId="CharStyle9">
    <w:name w:val="Body text (2) + Franklin Gothic Heavy,10.5 pt"/>
    <w:basedOn w:val="CharStyle4"/>
    <w:rPr>
      <w:lang w:val="en-GB" w:eastAsia="en-GB" w:bidi="en-GB"/>
      <w:b/>
      <w:bCs/>
      <w:sz w:val="21"/>
      <w:szCs w:val="2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0">
    <w:name w:val="Body text (2) + Bold"/>
    <w:basedOn w:val="CharStyle4"/>
    <w:rPr>
      <w:lang w:val="en-GB" w:eastAsia="en-GB" w:bidi="en-GB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1">
    <w:name w:val="Body text (2)"/>
    <w:basedOn w:val="CharStyle4"/>
    <w:rPr>
      <w:lang w:val="en-GB" w:eastAsia="en-GB" w:bidi="en-GB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both"/>
      <w:spacing w:after="300" w:line="271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Palatino Linotype" w:eastAsia="Palatino Linotype" w:hAnsi="Palatino Linotype" w:cs="Palatino Linotype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FFFFFF"/>
      <w:jc w:val="center"/>
      <w:outlineLvl w:val="0"/>
      <w:spacing w:before="84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Palatino Linotype" w:eastAsia="Palatino Linotype" w:hAnsi="Palatino Linotype" w:cs="Palatino Linotyp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