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271D" w14:textId="77777777" w:rsidR="00364AE6" w:rsidRDefault="00364AE6"/>
    <w:p w14:paraId="71D34180" w14:textId="77777777" w:rsidR="00413966" w:rsidRDefault="00413966"/>
    <w:p w14:paraId="11B2A847" w14:textId="12C4D369" w:rsidR="00413966" w:rsidRDefault="00413966">
      <w:r w:rsidRPr="00413966">
        <w:t>•  On the 14th August 2016 the Appellant was sectioned under section 2 of the mental health act, he was then released later in August 2016</w:t>
      </w:r>
    </w:p>
    <w:sectPr w:rsidR="0041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66"/>
    <w:rsid w:val="00364AE6"/>
    <w:rsid w:val="0041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F325"/>
  <w15:chartTrackingRefBased/>
  <w15:docId w15:val="{9CC66BAF-433C-43C6-AB75-622761AA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2023-09-27T16:47:00Z</dcterms:created>
  <dcterms:modified xsi:type="dcterms:W3CDTF">2023-09-27T16:48:00Z</dcterms:modified>
</cp:coreProperties>
</file>